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60" w:line="240" w:lineRule="auto"/>
        <w:jc w:val="center"/>
        <w:rPr>
          <w:rFonts w:ascii="Calibri" w:cs="Calibri" w:eastAsia="Calibri" w:hAnsi="Calibri"/>
          <w:b w:val="1"/>
          <w:color w:val="22222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8"/>
          <w:szCs w:val="28"/>
          <w:rtl w:val="0"/>
        </w:rPr>
        <w:t xml:space="preserve">De lector a lector</w:t>
      </w:r>
    </w:p>
    <w:p w:rsidR="00000000" w:rsidDel="00000000" w:rsidP="00000000" w:rsidRDefault="00000000" w:rsidRPr="00000000" w14:paraId="00000002">
      <w:pPr>
        <w:shd w:fill="ffffff" w:val="clear"/>
        <w:spacing w:after="160" w:line="240" w:lineRule="auto"/>
        <w:jc w:val="center"/>
        <w:rPr>
          <w:rFonts w:ascii="Calibri" w:cs="Calibri" w:eastAsia="Calibri" w:hAnsi="Calibri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222222"/>
          <w:sz w:val="28"/>
          <w:szCs w:val="28"/>
          <w:rtl w:val="0"/>
        </w:rPr>
        <w:t xml:space="preserve">Feria de libros circulantes</w:t>
      </w:r>
    </w:p>
    <w:p w:rsidR="00000000" w:rsidDel="00000000" w:rsidP="00000000" w:rsidRDefault="00000000" w:rsidRPr="00000000" w14:paraId="00000003">
      <w:pPr>
        <w:shd w:fill="ffffff" w:val="clear"/>
        <w:spacing w:after="160" w:line="240" w:lineRule="auto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60" w:line="240" w:lineRule="auto"/>
        <w:jc w:val="center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Convocatoria a feriantes</w:t>
      </w:r>
    </w:p>
    <w:p w:rsidR="00000000" w:rsidDel="00000000" w:rsidP="00000000" w:rsidRDefault="00000000" w:rsidRPr="00000000" w14:paraId="00000005">
      <w:pPr>
        <w:shd w:fill="ffffff" w:val="clear"/>
        <w:spacing w:after="160" w:line="240" w:lineRule="auto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 Municipalidad de Córdoba en colaboración con Babilonia Literaria,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invita a lectores, grupos de lectura y proyectos autogestivos a participar de la Feria de Libros Circulantes “De lector a lector”., que se llevará a cabo en el marco de los 10 años de la plataforma literaria cordobesa, el sábado 22 de marzo, de 18:00 a 21:30, en el Centro Cultural Casa de Pepino (Fructuoso Rivera 287).</w:t>
      </w:r>
    </w:p>
    <w:p w:rsidR="00000000" w:rsidDel="00000000" w:rsidP="00000000" w:rsidRDefault="00000000" w:rsidRPr="00000000" w14:paraId="00000007">
      <w:pPr>
        <w:shd w:fill="ffffff" w:val="clear"/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actividad estará acompañada por una grilla de actividades a cargo de Babilonia Literaria. 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convocatoria está orientada a quienes tengan libros usados en buenas condiciones que deseen vender y hacer circular entre nuevos lectores.  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consultas escribir a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babiloniagestionliteraria@gmaail.com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1. Destinatarios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Podrán participar lectores/as, integrantes de grupos de lectura o proyectos autogestivos (no librerías de saldo) dispuestos a vender ejemplares de su propiedad, respetando los siguientes requisitos: </w:t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 Los libros para la venta deben ser ediciones del año 2000 hasta la fecha (no clásicos, no libros editados en el siglo XX).</w:t>
      </w:r>
    </w:p>
    <w:p w:rsidR="00000000" w:rsidDel="00000000" w:rsidP="00000000" w:rsidRDefault="00000000" w:rsidRPr="00000000" w14:paraId="00000011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Deben ser libros de perfil literario, ficción o no ficción (dentro de no ficción: crónicas, contenidos vinculados al mundo literario, o con temáticas de interés social y cultural). No libros jurídicos, financieros, religiosos, ni manuales de estudio. </w:t>
      </w:r>
    </w:p>
    <w:p w:rsidR="00000000" w:rsidDel="00000000" w:rsidP="00000000" w:rsidRDefault="00000000" w:rsidRPr="00000000" w14:paraId="00000012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  El expositor deberá contar con un mínimo de 25 ejemplares y un máximo de 50. </w:t>
      </w:r>
    </w:p>
    <w:p w:rsidR="00000000" w:rsidDel="00000000" w:rsidP="00000000" w:rsidRDefault="00000000" w:rsidRPr="00000000" w14:paraId="00000013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c) Los costos no deberán superar los 20 mil pesos (el mínimo queda librado al lector). </w:t>
      </w:r>
    </w:p>
    <w:p w:rsidR="00000000" w:rsidDel="00000000" w:rsidP="00000000" w:rsidRDefault="00000000" w:rsidRPr="00000000" w14:paraId="00000014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e)  El feriante debe garantizar la posibilidad de abonar vía transferencia o Mercado Pago. </w:t>
      </w:r>
    </w:p>
    <w:p w:rsidR="00000000" w:rsidDel="00000000" w:rsidP="00000000" w:rsidRDefault="00000000" w:rsidRPr="00000000" w14:paraId="00000015">
      <w:pPr>
        <w:spacing w:after="160"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f) Traslados, armado y atención del stand corren por cuenta del feriante.  </w:t>
      </w:r>
    </w:p>
    <w:p w:rsidR="00000000" w:rsidDel="00000000" w:rsidP="00000000" w:rsidRDefault="00000000" w:rsidRPr="00000000" w14:paraId="0000001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Está prohibida la participación de personal municipal, en concordancia a lo establecido en la Ord. 7244. </w:t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2. Beneficio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stand de venta no tendrá costo alguno para los feriantes. Asimismo se les otorgará: 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Tablones 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Instalaciones técnicas (sonido, luz) generales de la casa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Conectividad de WIFI 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Uso de instalaciones de Casa de Pepino.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feria contará con una grilla de actividades para favorecer la circulación. </w:t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rPr>
          <w:rFonts w:ascii="Calibri" w:cs="Calibri" w:eastAsia="Calibri" w:hAnsi="Calibri"/>
          <w:color w:val="222222"/>
          <w:shd w:fill="f9cb9c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3. Participación y selección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Las y los feriantes serán seleccionado/as por una comisión de evaluación integrada por la coordinación de la plataforma Babilonia Literaria y personal de la Editorial Municipal.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240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Para ser seleccionados deberán respetar los requisitos indicados en el punto 2 y además deberán enviar una lista que incluya entre cinco ú ocho títulos y autores que llevaran para la venta, a los fines de exponer un perfil del contenido general del stand. </w:t>
      </w:r>
    </w:p>
    <w:p w:rsidR="00000000" w:rsidDel="00000000" w:rsidP="00000000" w:rsidRDefault="00000000" w:rsidRPr="00000000" w14:paraId="00000025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Los seleccionados deberán presentarse el día de la Feria a las 17 para el armado del stand y se quedarán hasta el final de la misma para el desmontaje.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La atención del stand estará a cargo del feriante.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line="240" w:lineRule="auto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5. Cronograma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Del 27 de febrero al 10 de marzo de 2025 se llevará a cabo la convocatoria. Los postulantes podran inscribirse mediante el siguiente  link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https://docs.google.com/forms/d/e/1FAIpQLSfIQtn1JCxoxbZSY2gxLKzMoPO2SFUJ5Crc6MwzLgR0RiGfNQ/viewform?usp=preview</w:t>
        </w:r>
      </w:hyperlink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2222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Entre el 12 y el 14 de marzo, se darán a conocer los nombres de los participantes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La información será enviada por correo electrónico a la dirección indicada en el formulario de inscripción. </w:t>
      </w:r>
    </w:p>
    <w:p w:rsidR="00000000" w:rsidDel="00000000" w:rsidP="00000000" w:rsidRDefault="00000000" w:rsidRPr="00000000" w14:paraId="0000002D">
      <w:pPr>
        <w:shd w:fill="ffffff" w:val="clear"/>
        <w:spacing w:line="240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6. Buenas prácticas: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No se toleraran actos de discriminación en ninguna forma, las personas que actúen de esta forma quedaran excluidos del beneficio y/o vetados de participar en otras convocatorias, actuales y próximas que organice la Secretaría de Cultura.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Consideramos actos discriminatorios los contemplados en el Art. 1 de la Ley 23.592 de Actos Discriminatorios; seguir, acosar (stalkear) o intimidar deliberadamente a alguien; fotografiar o grabar a alguien sin su consentimiento fuera del ámbito de las actividades llevadas a cabo (si alguien no desea ser fotografiado/a puede pedir una identificación "NO FOTO"); interrumpir continuamente charlas o eventos; contacto físico inapropiado y/o en contra de la voluntad de alguien; promover o fomentar cualquiera de las anteriores.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Las personas participantes no podrán utilizar recursos -de cualquier tipo- que desprestigien a las personas beneficiadas, al fallo del comité y a las decisiones que la organización disponga.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Las personas postulantes no podrán establecer contacto con el comité evaluador antes, durante y posterior a la jura, en temas relacionados con el certamen. Cualquier anomalía será causa de descalificación de la persona participante.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160" w:line="240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La postulación implica que el contenido proporcionado no viola los derechos de propiedad intelectual de terceros.</w:t>
      </w:r>
    </w:p>
    <w:p w:rsidR="00000000" w:rsidDel="00000000" w:rsidP="00000000" w:rsidRDefault="00000000" w:rsidRPr="00000000" w14:paraId="00000035">
      <w:pPr>
        <w:shd w:fill="ffffff" w:val="clear"/>
        <w:spacing w:after="160" w:line="240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160" w:line="240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7. Disposiciones generales</w:t>
      </w:r>
    </w:p>
    <w:p w:rsidR="00000000" w:rsidDel="00000000" w:rsidP="00000000" w:rsidRDefault="00000000" w:rsidRPr="00000000" w14:paraId="00000037">
      <w:pPr>
        <w:shd w:fill="ffffff" w:val="clear"/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Ante cualquier imprevisto no contemplado en este reglamento de participación, la organización tendrá la potestad de resolver y su decisión será inapelable.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60"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abiloniagestionliteraria@gmaail.com" TargetMode="External"/><Relationship Id="rId8" Type="http://schemas.openxmlformats.org/officeDocument/2006/relationships/hyperlink" Target="https://docs.google.com/forms/d/e/1FAIpQLSfIQtn1JCxoxbZSY2gxLKzMoPO2SFUJ5Crc6MwzLgR0RiGfNQ/viewform?usp=pre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GYpUGtGmdbz7l2LFBG6aMsIZ8w==">CgMxLjA4AHIhMXVwQUNPUlFKaUxSNGVyRHZlV3ZLWl9DcTUtTGk5eHRH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