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1D74" w14:textId="355D3416" w:rsidR="00CD3479" w:rsidRDefault="003B17ED" w:rsidP="003B17ED">
      <w:pPr>
        <w:jc w:val="center"/>
        <w:rPr>
          <w:lang w:val="es-MX"/>
        </w:rPr>
      </w:pPr>
      <w:r>
        <w:rPr>
          <w:b/>
          <w:lang w:val="es-MX"/>
        </w:rPr>
        <w:t>EN DOS SEMANAS, EL CENTRO DE TRANSFERENCIA RECIBIÓ 223 TONELADAS DE RESIDUOS</w:t>
      </w:r>
    </w:p>
    <w:p w14:paraId="1F53B65F" w14:textId="69C594C5" w:rsidR="0045587D" w:rsidRDefault="00CD3479" w:rsidP="003B17ED">
      <w:pPr>
        <w:jc w:val="both"/>
        <w:rPr>
          <w:lang w:val="es-MX"/>
        </w:rPr>
      </w:pPr>
      <w:r>
        <w:rPr>
          <w:lang w:val="es-MX"/>
        </w:rPr>
        <w:t>En el período de referencia ingresaron al Centro de Transferencia de Residuos</w:t>
      </w:r>
      <w:r w:rsidR="000A4D12">
        <w:rPr>
          <w:lang w:val="es-MX"/>
        </w:rPr>
        <w:t xml:space="preserve"> Rancagua:</w:t>
      </w:r>
      <w:r w:rsidR="00A04872">
        <w:rPr>
          <w:lang w:val="es-MX"/>
        </w:rPr>
        <w:t xml:space="preserve"> </w:t>
      </w:r>
      <w:r w:rsidR="00A43791">
        <w:rPr>
          <w:lang w:val="es-MX"/>
        </w:rPr>
        <w:t xml:space="preserve">357.60 </w:t>
      </w:r>
      <w:r w:rsidR="00196DA9">
        <w:rPr>
          <w:lang w:val="es-MX"/>
        </w:rPr>
        <w:t>m</w:t>
      </w:r>
      <w:r w:rsidR="00196DA9">
        <w:rPr>
          <w:vertAlign w:val="superscript"/>
          <w:lang w:val="es-MX"/>
        </w:rPr>
        <w:t>3</w:t>
      </w:r>
      <w:r w:rsidR="00196DA9">
        <w:rPr>
          <w:lang w:val="es-MX"/>
        </w:rPr>
        <w:t xml:space="preserve"> de materiales</w:t>
      </w:r>
      <w:r w:rsidR="00BA249F">
        <w:rPr>
          <w:lang w:val="es-MX"/>
        </w:rPr>
        <w:t xml:space="preserve">, las que </w:t>
      </w:r>
      <w:r w:rsidR="00A04872">
        <w:rPr>
          <w:lang w:val="es-MX"/>
        </w:rPr>
        <w:t xml:space="preserve">equivalen a </w:t>
      </w:r>
      <w:r w:rsidR="00AB0A06">
        <w:rPr>
          <w:lang w:val="es-MX"/>
        </w:rPr>
        <w:t>223.42</w:t>
      </w:r>
      <w:r w:rsidR="00BA249F">
        <w:rPr>
          <w:lang w:val="es-MX"/>
        </w:rPr>
        <w:t xml:space="preserve"> T</w:t>
      </w:r>
      <w:r w:rsidR="00B6241D">
        <w:rPr>
          <w:lang w:val="es-MX"/>
        </w:rPr>
        <w:t>n.</w:t>
      </w:r>
      <w:r w:rsidR="00196DA9">
        <w:rPr>
          <w:lang w:val="es-MX"/>
        </w:rPr>
        <w:t xml:space="preserve"> </w:t>
      </w:r>
    </w:p>
    <w:p w14:paraId="69881C12" w14:textId="77777777" w:rsidR="00CD3479" w:rsidRDefault="00196DA9" w:rsidP="00440166">
      <w:pPr>
        <w:ind w:firstLine="708"/>
        <w:jc w:val="both"/>
        <w:rPr>
          <w:lang w:val="es-MX"/>
        </w:rPr>
      </w:pPr>
      <w:r>
        <w:rPr>
          <w:lang w:val="es-MX"/>
        </w:rPr>
        <w:t xml:space="preserve">A continuación se </w:t>
      </w:r>
      <w:proofErr w:type="gramStart"/>
      <w:r>
        <w:rPr>
          <w:lang w:val="es-MX"/>
        </w:rPr>
        <w:t>detalla  el</w:t>
      </w:r>
      <w:proofErr w:type="gramEnd"/>
      <w:r>
        <w:rPr>
          <w:lang w:val="es-MX"/>
        </w:rPr>
        <w:t xml:space="preserve"> ingreso por tipo</w:t>
      </w:r>
      <w:r w:rsidR="00B6241D">
        <w:rPr>
          <w:lang w:val="es-MX"/>
        </w:rPr>
        <w:t xml:space="preserve"> de material</w:t>
      </w:r>
      <w:r>
        <w:rPr>
          <w:lang w:val="es-MX"/>
        </w:rPr>
        <w:t>, a saber:</w:t>
      </w:r>
    </w:p>
    <w:tbl>
      <w:tblPr>
        <w:tblW w:w="5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973"/>
      </w:tblGrid>
      <w:tr w:rsidR="00BA249F" w:rsidRPr="00695EAD" w14:paraId="00550FAA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25A9DC45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007414F8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Valores</w:t>
            </w:r>
          </w:p>
        </w:tc>
      </w:tr>
      <w:tr w:rsidR="00BA249F" w:rsidRPr="00695EAD" w14:paraId="4AE13B05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14:paraId="5A46AE9F" w14:textId="77777777" w:rsidR="00BA249F" w:rsidRPr="00695EAD" w:rsidRDefault="00BA249F" w:rsidP="00695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 DE MATERIAL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14:paraId="64A5E223" w14:textId="77777777" w:rsidR="00BA249F" w:rsidRPr="00695EAD" w:rsidRDefault="00BA249F" w:rsidP="00695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m3</w:t>
            </w:r>
          </w:p>
        </w:tc>
      </w:tr>
      <w:tr w:rsidR="00BA249F" w:rsidRPr="00695EAD" w14:paraId="03CB8F4A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4A5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color w:val="000000"/>
                <w:lang w:eastAsia="es-ES"/>
              </w:rPr>
              <w:t>RESTOS DE OBRA Y/O DEMOLICION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204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152.30</w:t>
            </w:r>
          </w:p>
        </w:tc>
      </w:tr>
      <w:tr w:rsidR="00BA249F" w:rsidRPr="00695EAD" w14:paraId="34D32991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753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color w:val="000000"/>
                <w:lang w:eastAsia="es-ES"/>
              </w:rPr>
              <w:t>RESTOS VERDES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 SUELTO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2E4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18.00</w:t>
            </w:r>
          </w:p>
        </w:tc>
      </w:tr>
      <w:tr w:rsidR="0094798B" w:rsidRPr="00695EAD" w14:paraId="59446983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7984" w14:textId="77777777" w:rsidR="0094798B" w:rsidRPr="00695EAD" w:rsidRDefault="0094798B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RESTOS VERDES MOLIDOS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EA1" w14:textId="77777777" w:rsidR="0094798B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46.30</w:t>
            </w:r>
          </w:p>
        </w:tc>
      </w:tr>
      <w:tr w:rsidR="00BA249F" w:rsidRPr="00695EAD" w14:paraId="5E176435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B2E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color w:val="000000"/>
                <w:lang w:eastAsia="es-ES"/>
              </w:rPr>
              <w:t>RSU FS (FRACCIÓN SECA)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F77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50.70</w:t>
            </w:r>
          </w:p>
        </w:tc>
      </w:tr>
      <w:tr w:rsidR="00BA249F" w:rsidRPr="00695EAD" w14:paraId="78709070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623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color w:val="000000"/>
                <w:lang w:eastAsia="es-ES"/>
              </w:rPr>
              <w:t>VOLUMINOSOS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13C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25.30</w:t>
            </w:r>
          </w:p>
        </w:tc>
      </w:tr>
      <w:tr w:rsidR="00BA249F" w:rsidRPr="00695EAD" w14:paraId="122CAF2C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A22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95EAD">
              <w:rPr>
                <w:rFonts w:ascii="Calibri" w:eastAsia="Times New Roman" w:hAnsi="Calibri" w:cs="Calibri"/>
                <w:color w:val="000000"/>
                <w:lang w:eastAsia="es-ES"/>
              </w:rPr>
              <w:t>RAEE LINEA GRIS Y MARRON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E20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19.20</w:t>
            </w:r>
          </w:p>
        </w:tc>
      </w:tr>
      <w:tr w:rsidR="00A04872" w:rsidRPr="00695EAD" w14:paraId="0189760A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40A" w14:textId="77777777" w:rsidR="00A04872" w:rsidRPr="00695EAD" w:rsidRDefault="0094798B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VOLUMINOSOS </w:t>
            </w:r>
            <w:r w:rsidR="00A0487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LÍNEA</w:t>
            </w:r>
            <w:proofErr w:type="gramEnd"/>
            <w:r w:rsidR="00A0487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BLANCA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14C" w14:textId="77777777" w:rsidR="00A04872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4.60</w:t>
            </w:r>
          </w:p>
        </w:tc>
      </w:tr>
      <w:tr w:rsidR="00BA249F" w:rsidRPr="00695EAD" w14:paraId="4C6FE0CE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FE4E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TIERRA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14E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2.90</w:t>
            </w:r>
          </w:p>
        </w:tc>
      </w:tr>
      <w:tr w:rsidR="00BA249F" w:rsidRPr="00695EAD" w14:paraId="5B39A4AA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A5C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CHATARRA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F39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20.00</w:t>
            </w:r>
          </w:p>
        </w:tc>
      </w:tr>
      <w:tr w:rsidR="00BA249F" w:rsidRPr="00695EAD" w14:paraId="4EF83E3D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81F" w14:textId="77777777" w:rsidR="00BA249F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NEUMÁTICOS FUERA DEUSO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95A" w14:textId="77777777" w:rsidR="00BA249F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12.60</w:t>
            </w:r>
          </w:p>
        </w:tc>
      </w:tr>
      <w:tr w:rsidR="0094798B" w:rsidRPr="00695EAD" w14:paraId="3CE68DFF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B03" w14:textId="77777777" w:rsidR="0094798B" w:rsidRDefault="0094798B" w:rsidP="00695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LEÑA SOCIAL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531" w14:textId="77777777" w:rsidR="0094798B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5.70</w:t>
            </w:r>
          </w:p>
        </w:tc>
      </w:tr>
      <w:tr w:rsidR="00BA249F" w:rsidRPr="00695EAD" w14:paraId="69EECC4E" w14:textId="77777777" w:rsidTr="00BA249F">
        <w:trPr>
          <w:trHeight w:val="300"/>
          <w:jc w:val="center"/>
        </w:trPr>
        <w:tc>
          <w:tcPr>
            <w:tcW w:w="431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73E23744" w14:textId="77777777" w:rsidR="00BA249F" w:rsidRPr="00695EAD" w:rsidRDefault="00BA249F" w:rsidP="00695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695E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695EA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general</w:t>
            </w:r>
          </w:p>
        </w:tc>
        <w:tc>
          <w:tcPr>
            <w:tcW w:w="97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486F1E6B" w14:textId="77777777" w:rsidR="00BA249F" w:rsidRPr="00695EAD" w:rsidRDefault="0094798B" w:rsidP="00695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357.60</w:t>
            </w:r>
          </w:p>
        </w:tc>
      </w:tr>
    </w:tbl>
    <w:p w14:paraId="0920B996" w14:textId="77777777" w:rsidR="00196DA9" w:rsidRDefault="00196DA9" w:rsidP="00196DA9">
      <w:pPr>
        <w:jc w:val="center"/>
        <w:rPr>
          <w:lang w:val="es-MX"/>
        </w:rPr>
      </w:pPr>
      <w:r>
        <w:rPr>
          <w:lang w:val="es-MX"/>
        </w:rPr>
        <w:t>Fuente: sistema de pesaje CTR</w:t>
      </w:r>
    </w:p>
    <w:p w14:paraId="477C5C86" w14:textId="7C9AD866" w:rsidR="00532A05" w:rsidRDefault="003B17ED" w:rsidP="003B17ED">
      <w:pPr>
        <w:jc w:val="both"/>
        <w:rPr>
          <w:lang w:val="es-MX"/>
        </w:rPr>
      </w:pPr>
      <w:r>
        <w:rPr>
          <w:lang w:val="es-MX"/>
        </w:rPr>
        <w:t>A</w:t>
      </w:r>
      <w:r w:rsidR="00440166">
        <w:rPr>
          <w:lang w:val="es-MX"/>
        </w:rPr>
        <w:t xml:space="preserve"> </w:t>
      </w:r>
      <w:proofErr w:type="gramStart"/>
      <w:r w:rsidR="00440166">
        <w:rPr>
          <w:lang w:val="es-MX"/>
        </w:rPr>
        <w:t>continuación</w:t>
      </w:r>
      <w:proofErr w:type="gramEnd"/>
      <w:r w:rsidR="00440166">
        <w:rPr>
          <w:lang w:val="es-MX"/>
        </w:rPr>
        <w:t xml:space="preserve"> se presenta </w:t>
      </w:r>
      <w:r w:rsidR="00347D74">
        <w:rPr>
          <w:lang w:val="es-MX"/>
        </w:rPr>
        <w:t>la distribución de los ingresos por tipo de usuario, a saber:</w:t>
      </w:r>
      <w:r w:rsidR="00440166">
        <w:rPr>
          <w:lang w:val="es-MX"/>
        </w:rPr>
        <w:t xml:space="preserve"> </w:t>
      </w:r>
    </w:p>
    <w:p w14:paraId="08F660E4" w14:textId="77777777" w:rsidR="00532A05" w:rsidRDefault="00347D74" w:rsidP="00695EAD">
      <w:pPr>
        <w:jc w:val="center"/>
        <w:rPr>
          <w:lang w:val="es-MX"/>
        </w:rPr>
      </w:pPr>
      <w:r w:rsidRPr="00347D74">
        <w:rPr>
          <w:noProof/>
          <w:lang w:val="es-MX"/>
        </w:rPr>
        <w:drawing>
          <wp:inline distT="0" distB="0" distL="0" distR="0" wp14:anchorId="2EDC9411" wp14:editId="5F29273E">
            <wp:extent cx="4752975" cy="3009900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EFC6FE" w14:textId="77777777" w:rsidR="00695EAD" w:rsidRDefault="00695EAD" w:rsidP="00695EAD">
      <w:pPr>
        <w:jc w:val="center"/>
        <w:rPr>
          <w:lang w:val="es-MX"/>
        </w:rPr>
      </w:pPr>
      <w:r>
        <w:rPr>
          <w:lang w:val="es-MX"/>
        </w:rPr>
        <w:t>Fuente: sistema de pesaje CTR</w:t>
      </w:r>
    </w:p>
    <w:p w14:paraId="7FB1F901" w14:textId="57F4AC64" w:rsidR="00440166" w:rsidRDefault="003B17ED" w:rsidP="003B17ED">
      <w:pPr>
        <w:jc w:val="both"/>
        <w:rPr>
          <w:lang w:val="es-MX"/>
        </w:rPr>
      </w:pPr>
      <w:r>
        <w:rPr>
          <w:lang w:val="es-MX"/>
        </w:rPr>
        <w:t>A</w:t>
      </w:r>
      <w:r w:rsidR="00347D74">
        <w:rPr>
          <w:lang w:val="es-MX"/>
        </w:rPr>
        <w:t xml:space="preserve"> </w:t>
      </w:r>
      <w:proofErr w:type="gramStart"/>
      <w:r w:rsidR="00347D74">
        <w:rPr>
          <w:lang w:val="es-MX"/>
        </w:rPr>
        <w:t>continuación</w:t>
      </w:r>
      <w:proofErr w:type="gramEnd"/>
      <w:r w:rsidR="00347D74">
        <w:rPr>
          <w:lang w:val="es-MX"/>
        </w:rPr>
        <w:t xml:space="preserve"> se presenta la cantidad de ingresos por medio de transporte utilizado, a saber</w:t>
      </w:r>
      <w:r w:rsidR="00440166">
        <w:rPr>
          <w:lang w:val="es-MX"/>
        </w:rPr>
        <w:t>:</w:t>
      </w:r>
    </w:p>
    <w:p w14:paraId="69AA8995" w14:textId="77777777" w:rsidR="00440166" w:rsidRDefault="00AB0A06" w:rsidP="00440166">
      <w:pPr>
        <w:jc w:val="center"/>
        <w:rPr>
          <w:lang w:val="es-MX"/>
        </w:rPr>
      </w:pPr>
      <w:r w:rsidRPr="00AB0A06">
        <w:rPr>
          <w:noProof/>
          <w:lang w:val="es-MX"/>
        </w:rPr>
        <w:lastRenderedPageBreak/>
        <w:drawing>
          <wp:inline distT="0" distB="0" distL="0" distR="0" wp14:anchorId="48D351E9" wp14:editId="6DFA300F">
            <wp:extent cx="4347467" cy="3534310"/>
            <wp:effectExtent l="19050" t="0" r="14983" b="89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6CFA76" w14:textId="77777777" w:rsidR="00440166" w:rsidRDefault="00440166" w:rsidP="00440166">
      <w:pPr>
        <w:jc w:val="center"/>
        <w:rPr>
          <w:lang w:val="es-MX"/>
        </w:rPr>
      </w:pPr>
      <w:r>
        <w:rPr>
          <w:lang w:val="es-MX"/>
        </w:rPr>
        <w:t>Fuente: sistema de pesaje CTR</w:t>
      </w:r>
    </w:p>
    <w:p w14:paraId="45D158D5" w14:textId="60865EE8" w:rsidR="00440166" w:rsidRDefault="000A4D12" w:rsidP="00B74B74">
      <w:pPr>
        <w:jc w:val="both"/>
        <w:rPr>
          <w:lang w:val="es-MX"/>
        </w:rPr>
      </w:pPr>
      <w:r>
        <w:rPr>
          <w:lang w:val="es-MX"/>
        </w:rPr>
        <w:t xml:space="preserve">De este modo se registraron </w:t>
      </w:r>
      <w:r w:rsidR="00347D74">
        <w:rPr>
          <w:lang w:val="es-MX"/>
        </w:rPr>
        <w:t>502</w:t>
      </w:r>
      <w:r>
        <w:rPr>
          <w:lang w:val="es-MX"/>
        </w:rPr>
        <w:t xml:space="preserve"> movimientos de ingreso</w:t>
      </w:r>
      <w:r w:rsidR="00347D74">
        <w:rPr>
          <w:lang w:val="es-MX"/>
        </w:rPr>
        <w:t xml:space="preserve"> y 60</w:t>
      </w:r>
      <w:r w:rsidR="00757030">
        <w:rPr>
          <w:lang w:val="es-MX"/>
        </w:rPr>
        <w:t xml:space="preserve"> movimientos de egreso de materiales. De estos últimos es importante destacar que </w:t>
      </w:r>
      <w:r w:rsidR="00347D74">
        <w:rPr>
          <w:lang w:val="es-MX"/>
        </w:rPr>
        <w:t>17</w:t>
      </w:r>
      <w:r w:rsidR="00757030">
        <w:rPr>
          <w:lang w:val="es-MX"/>
        </w:rPr>
        <w:t xml:space="preserve"> fueron de</w:t>
      </w:r>
      <w:r w:rsidR="00D639F8">
        <w:rPr>
          <w:lang w:val="es-MX"/>
        </w:rPr>
        <w:t>stinados al Centro Verde ECOFEM, ubicado en la Av. Ale</w:t>
      </w:r>
      <w:r w:rsidR="00757030">
        <w:rPr>
          <w:lang w:val="es-MX"/>
        </w:rPr>
        <w:t xml:space="preserve">m, </w:t>
      </w:r>
      <w:r w:rsidR="00B74B74">
        <w:rPr>
          <w:lang w:val="es-MX"/>
        </w:rPr>
        <w:t>dos</w:t>
      </w:r>
      <w:r w:rsidR="00757030">
        <w:rPr>
          <w:lang w:val="es-MX"/>
        </w:rPr>
        <w:t xml:space="preserve"> roll off con chip de ramas,</w:t>
      </w:r>
      <w:r w:rsidR="00B74B74">
        <w:rPr>
          <w:lang w:val="es-MX"/>
        </w:rPr>
        <w:t xml:space="preserve"> cinco roll off con restos de obras y demolición, </w:t>
      </w:r>
      <w:proofErr w:type="gramStart"/>
      <w:r w:rsidR="00347D74">
        <w:rPr>
          <w:lang w:val="es-MX"/>
        </w:rPr>
        <w:t xml:space="preserve">12.60 </w:t>
      </w:r>
      <w:r w:rsidR="00757030">
        <w:rPr>
          <w:lang w:val="es-MX"/>
        </w:rPr>
        <w:t xml:space="preserve"> m</w:t>
      </w:r>
      <w:proofErr w:type="gramEnd"/>
      <w:r w:rsidR="00757030">
        <w:rPr>
          <w:lang w:val="es-MX"/>
        </w:rPr>
        <w:t xml:space="preserve">3 de NFU y el resto fueron donaciones sociales compuesta por muebles, </w:t>
      </w:r>
      <w:r w:rsidR="00347D74">
        <w:rPr>
          <w:lang w:val="es-MX"/>
        </w:rPr>
        <w:t xml:space="preserve">artefactos del hogar </w:t>
      </w:r>
      <w:r w:rsidR="00757030">
        <w:rPr>
          <w:lang w:val="es-MX"/>
        </w:rPr>
        <w:t>y leña.</w:t>
      </w:r>
    </w:p>
    <w:p w14:paraId="0B49C6AA" w14:textId="77777777" w:rsidR="000A4D12" w:rsidRDefault="000A4D12" w:rsidP="000A4D12">
      <w:pPr>
        <w:rPr>
          <w:lang w:val="es-MX"/>
        </w:rPr>
      </w:pPr>
    </w:p>
    <w:p w14:paraId="28570EB9" w14:textId="77777777" w:rsidR="00CD3479" w:rsidRPr="00CD3479" w:rsidRDefault="00CD3479" w:rsidP="00CD3479">
      <w:pPr>
        <w:rPr>
          <w:lang w:val="es-MX"/>
        </w:rPr>
      </w:pPr>
    </w:p>
    <w:sectPr w:rsidR="00CD3479" w:rsidRPr="00CD3479" w:rsidSect="00101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B335" w14:textId="77777777" w:rsidR="00537C5A" w:rsidRDefault="00537C5A" w:rsidP="00695EAD">
      <w:pPr>
        <w:spacing w:after="0" w:line="240" w:lineRule="auto"/>
      </w:pPr>
      <w:r>
        <w:separator/>
      </w:r>
    </w:p>
  </w:endnote>
  <w:endnote w:type="continuationSeparator" w:id="0">
    <w:p w14:paraId="36087634" w14:textId="77777777" w:rsidR="00537C5A" w:rsidRDefault="00537C5A" w:rsidP="0069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DF93" w14:textId="77777777" w:rsidR="00537C5A" w:rsidRDefault="00537C5A" w:rsidP="00695EAD">
      <w:pPr>
        <w:spacing w:after="0" w:line="240" w:lineRule="auto"/>
      </w:pPr>
      <w:r>
        <w:separator/>
      </w:r>
    </w:p>
  </w:footnote>
  <w:footnote w:type="continuationSeparator" w:id="0">
    <w:p w14:paraId="55D8644C" w14:textId="77777777" w:rsidR="00537C5A" w:rsidRDefault="00537C5A" w:rsidP="0069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EDD"/>
    <w:multiLevelType w:val="hybridMultilevel"/>
    <w:tmpl w:val="B8DE9B76"/>
    <w:lvl w:ilvl="0" w:tplc="167E2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9"/>
    <w:rsid w:val="000542D1"/>
    <w:rsid w:val="000A4D12"/>
    <w:rsid w:val="000D7A42"/>
    <w:rsid w:val="000E2D2C"/>
    <w:rsid w:val="00101A8C"/>
    <w:rsid w:val="0019303E"/>
    <w:rsid w:val="00196DA9"/>
    <w:rsid w:val="00347D74"/>
    <w:rsid w:val="003B17ED"/>
    <w:rsid w:val="003C127B"/>
    <w:rsid w:val="00440166"/>
    <w:rsid w:val="00445DC8"/>
    <w:rsid w:val="0045498C"/>
    <w:rsid w:val="0045587D"/>
    <w:rsid w:val="005038E4"/>
    <w:rsid w:val="00532A05"/>
    <w:rsid w:val="00537C5A"/>
    <w:rsid w:val="00557567"/>
    <w:rsid w:val="005E00EB"/>
    <w:rsid w:val="00645BA9"/>
    <w:rsid w:val="006574E3"/>
    <w:rsid w:val="00695EAD"/>
    <w:rsid w:val="00757030"/>
    <w:rsid w:val="008177E0"/>
    <w:rsid w:val="008626B5"/>
    <w:rsid w:val="0094798B"/>
    <w:rsid w:val="00A04872"/>
    <w:rsid w:val="00A43791"/>
    <w:rsid w:val="00A96BBC"/>
    <w:rsid w:val="00AB0A06"/>
    <w:rsid w:val="00B6241D"/>
    <w:rsid w:val="00B74B74"/>
    <w:rsid w:val="00BA249F"/>
    <w:rsid w:val="00C10030"/>
    <w:rsid w:val="00CD3479"/>
    <w:rsid w:val="00D42821"/>
    <w:rsid w:val="00D639F8"/>
    <w:rsid w:val="00F307AB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485C"/>
  <w15:docId w15:val="{F0A6B4C3-397D-40C1-8725-67D8940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27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5E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5E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E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wnloads\entrad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wnloads\entrad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[entrada.xls]Hoja6!Tabla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200"/>
              <a:t>Porcentaje</a:t>
            </a:r>
            <a:r>
              <a:rPr lang="en-US" sz="1200" baseline="0"/>
              <a:t> de Ingresos por Tipo de Usuario</a:t>
            </a:r>
            <a:endParaRPr lang="en-US" sz="1200"/>
          </a:p>
        </c:rich>
      </c:tx>
      <c:layout>
        <c:manualLayout>
          <c:xMode val="edge"/>
          <c:yMode val="edge"/>
          <c:x val="0.20063188976377952"/>
          <c:y val="0.8935185185185186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Hoja6!$B$3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Hoja6!$A$4:$A$11</c:f>
              <c:strCache>
                <c:ptCount val="7"/>
                <c:pt idx="0">
                  <c:v>Comercio/Industria</c:v>
                </c:pt>
                <c:pt idx="1">
                  <c:v>Constructor</c:v>
                </c:pt>
                <c:pt idx="2">
                  <c:v>Fletero</c:v>
                </c:pt>
                <c:pt idx="3">
                  <c:v>Jardinero</c:v>
                </c:pt>
                <c:pt idx="4">
                  <c:v>OTROS</c:v>
                </c:pt>
                <c:pt idx="5">
                  <c:v>Trabaja manipulando residuos (recuperador)</c:v>
                </c:pt>
                <c:pt idx="6">
                  <c:v>Vecino</c:v>
                </c:pt>
              </c:strCache>
            </c:strRef>
          </c:cat>
          <c:val>
            <c:numRef>
              <c:f>Hoja6!$B$4:$B$11</c:f>
              <c:numCache>
                <c:formatCode>General</c:formatCode>
                <c:ptCount val="7"/>
                <c:pt idx="0">
                  <c:v>43</c:v>
                </c:pt>
                <c:pt idx="1">
                  <c:v>6</c:v>
                </c:pt>
                <c:pt idx="2">
                  <c:v>32</c:v>
                </c:pt>
                <c:pt idx="3">
                  <c:v>19</c:v>
                </c:pt>
                <c:pt idx="4">
                  <c:v>1</c:v>
                </c:pt>
                <c:pt idx="5">
                  <c:v>99</c:v>
                </c:pt>
                <c:pt idx="6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6-4EE7-B7FC-7D6553963B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[entrada.xls]Hoja5!Tabla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ES" sz="1100"/>
              <a:t>Cant. de ingresos</a:t>
            </a:r>
            <a:r>
              <a:rPr lang="es-ES" sz="1100" baseline="0"/>
              <a:t> al CTR por medio de transporte</a:t>
            </a:r>
            <a:endParaRPr lang="es-ES" sz="1100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Hoja5!$B$3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Hoja5!$A$4:$A$13</c:f>
              <c:strCache>
                <c:ptCount val="9"/>
                <c:pt idx="0">
                  <c:v>AUTO</c:v>
                </c:pt>
                <c:pt idx="1">
                  <c:v>AUTO CON CARRO</c:v>
                </c:pt>
                <c:pt idx="2">
                  <c:v>BOLSA DE MANO</c:v>
                </c:pt>
                <c:pt idx="3">
                  <c:v>CABALLO CON CARRO</c:v>
                </c:pt>
                <c:pt idx="4">
                  <c:v>CAMION</c:v>
                </c:pt>
                <c:pt idx="5">
                  <c:v>CAMIONETA</c:v>
                </c:pt>
                <c:pt idx="6">
                  <c:v>CARRO MANUAL</c:v>
                </c:pt>
                <c:pt idx="7">
                  <c:v>MOTO CON CARRO</c:v>
                </c:pt>
                <c:pt idx="8">
                  <c:v>UTILITARIO</c:v>
                </c:pt>
              </c:strCache>
            </c:strRef>
          </c:cat>
          <c:val>
            <c:numRef>
              <c:f>Hoja5!$B$4:$B$13</c:f>
              <c:numCache>
                <c:formatCode>General</c:formatCode>
                <c:ptCount val="9"/>
                <c:pt idx="0">
                  <c:v>91</c:v>
                </c:pt>
                <c:pt idx="1">
                  <c:v>53</c:v>
                </c:pt>
                <c:pt idx="2">
                  <c:v>8</c:v>
                </c:pt>
                <c:pt idx="3">
                  <c:v>18</c:v>
                </c:pt>
                <c:pt idx="4">
                  <c:v>13</c:v>
                </c:pt>
                <c:pt idx="5">
                  <c:v>214</c:v>
                </c:pt>
                <c:pt idx="6">
                  <c:v>29</c:v>
                </c:pt>
                <c:pt idx="7">
                  <c:v>3</c:v>
                </c:pt>
                <c:pt idx="8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9-40D3-90C9-47773D3800B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D0B-0556-4C73-931B-B20E0A53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2021-07-16T18:33:00Z</cp:lastPrinted>
  <dcterms:created xsi:type="dcterms:W3CDTF">2021-07-29T11:52:00Z</dcterms:created>
  <dcterms:modified xsi:type="dcterms:W3CDTF">2021-07-29T11:52:00Z</dcterms:modified>
</cp:coreProperties>
</file>